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  <w:gridCol w:w="196"/>
        <w:gridCol w:w="2885"/>
        <w:gridCol w:w="224"/>
        <w:gridCol w:w="3483"/>
      </w:tblGrid>
      <w:tr w:rsidR="00DA7B89" w:rsidRPr="00847E8E" w14:paraId="65003359" w14:textId="77777777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54192DD5" w14:textId="29A773D4"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MINISTERSTWO FUNDUSZY I POLITYKI REGIONALNEJ        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947582" w:rsidRPr="00847E8E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             ul. Wspólna 2/4, 00-926 Warszawa</w:t>
            </w:r>
          </w:p>
        </w:tc>
      </w:tr>
      <w:tr w:rsidR="00AF05A4" w:rsidRPr="00847E8E" w14:paraId="1180F37C" w14:textId="77777777" w:rsidTr="00DE2330">
        <w:trPr>
          <w:trHeight w:val="1077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14:paraId="62E350A0" w14:textId="77777777" w:rsidR="00560BC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14:paraId="53BEB78B" w14:textId="2607C7B6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5B8CC1DD" w14:textId="41F614F9" w:rsidR="00560BC2" w:rsidRPr="00847E8E" w:rsidRDefault="00560BC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  <w:p w14:paraId="188F7E8F" w14:textId="521D405C" w:rsidR="00560BC2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Rekreacji Nieporęt</w:t>
            </w:r>
          </w:p>
          <w:p w14:paraId="56944402" w14:textId="117B9811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14:paraId="1101EBE1" w14:textId="77777777"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14:paraId="11C2C07A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14:paraId="775EC276" w14:textId="77777777"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14:paraId="09572746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14:paraId="6F8A6C63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14:paraId="2C6D0881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14:paraId="6DEBFE20" w14:textId="77777777"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14:paraId="411DA87A" w14:textId="77777777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14:paraId="1B099838" w14:textId="77777777"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REGON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EAA574" w14:textId="587BC91D"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="00EF46AE">
              <w:rPr>
                <w:rFonts w:ascii="Times New Roman" w:hAnsi="Times New Roman"/>
                <w:i/>
                <w:sz w:val="15"/>
                <w:szCs w:val="15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14:paraId="5A214A59" w14:textId="473AF372" w:rsidR="00945AC5" w:rsidRPr="00847E8E" w:rsidRDefault="002B5639" w:rsidP="0039185F">
            <w:pPr>
              <w:suppressAutoHyphens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367504970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A2E2667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14:paraId="678410BC" w14:textId="77777777"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14:paraId="5082FBE6" w14:textId="77777777"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C068D35" w14:textId="77777777"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14:paraId="3263FE40" w14:textId="77777777"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14:paraId="29D5383F" w14:textId="73DC9638"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F5AD0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4"/>
        <w:gridCol w:w="300"/>
        <w:gridCol w:w="419"/>
        <w:gridCol w:w="387"/>
        <w:gridCol w:w="300"/>
        <w:gridCol w:w="326"/>
        <w:gridCol w:w="300"/>
        <w:gridCol w:w="314"/>
        <w:gridCol w:w="326"/>
        <w:gridCol w:w="326"/>
        <w:gridCol w:w="301"/>
        <w:gridCol w:w="314"/>
        <w:gridCol w:w="301"/>
        <w:gridCol w:w="301"/>
        <w:gridCol w:w="326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290"/>
      </w:tblGrid>
      <w:tr w:rsidR="00F84D18" w:rsidRPr="00847E8E" w14:paraId="363E7E78" w14:textId="77777777" w:rsidTr="00B25795">
        <w:tc>
          <w:tcPr>
            <w:tcW w:w="143" w:type="pct"/>
          </w:tcPr>
          <w:p w14:paraId="73DBA040" w14:textId="3B9A3714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14:paraId="4B9FAF82" w14:textId="263FCBDD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81CFC99" w14:textId="787CAFB4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14:paraId="1B13426A" w14:textId="626D8519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</w:t>
            </w:r>
          </w:p>
        </w:tc>
        <w:tc>
          <w:tcPr>
            <w:tcW w:w="143" w:type="pct"/>
          </w:tcPr>
          <w:p w14:paraId="4CE7A543" w14:textId="1E9801E7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6DBBE37D" w14:textId="488DAB06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14:paraId="5C131EAE" w14:textId="7DE6D02E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14:paraId="648CE52E" w14:textId="1ACD6E19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C410C1A" w14:textId="56057273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3679F49F" w14:textId="2A04768D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</w:p>
        </w:tc>
        <w:tc>
          <w:tcPr>
            <w:tcW w:w="143" w:type="pct"/>
          </w:tcPr>
          <w:p w14:paraId="7FAA53EC" w14:textId="0844D1B9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14:paraId="44626E9C" w14:textId="532E5928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14:paraId="0F3A237A" w14:textId="341F4127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14:paraId="446FB9C4" w14:textId="2E13450B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14:paraId="0D3661C2" w14:textId="344C829A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14:paraId="7A5102E0" w14:textId="763B0BFC" w:rsidR="00F84D18" w:rsidRPr="00847E8E" w:rsidRDefault="002B5639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14:paraId="10E83C72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86398A3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FE37A08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34CD766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4944EE31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472A94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DD54D6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B075A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41D8657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0BB7899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B25C1AB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12837ADD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590D3D89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BFE9505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0A7E25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3A40C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27763CB4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7E03963C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14:paraId="6AA77B9F" w14:textId="77777777"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686972A" w14:textId="32A2AD8C"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14:paraId="4461EA5E" w14:textId="67779414"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8"/>
        <w:gridCol w:w="3994"/>
        <w:gridCol w:w="3370"/>
      </w:tblGrid>
      <w:tr w:rsidR="00AF05A4" w:rsidRPr="00847E8E" w14:paraId="47CF58F8" w14:textId="77777777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B68F641" w14:textId="2291B955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Województwo …</w:t>
            </w:r>
            <w:r w:rsidR="002B5639">
              <w:rPr>
                <w:rFonts w:ascii="Times New Roman" w:hAnsi="Times New Roman"/>
                <w:sz w:val="21"/>
                <w:szCs w:val="21"/>
              </w:rPr>
              <w:t>Mazowieckie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4BC2137" w14:textId="7C6FF4C9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Powiat …………</w:t>
            </w:r>
            <w:r w:rsidR="002B5639">
              <w:rPr>
                <w:rFonts w:ascii="Times New Roman" w:hAnsi="Times New Roman"/>
                <w:sz w:val="21"/>
                <w:szCs w:val="21"/>
              </w:rPr>
              <w:t>Legionowski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…………….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052E95D" w14:textId="59A8FF4B"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 ……</w:t>
            </w:r>
            <w:r w:rsidR="007D26DD" w:rsidRPr="00847E8E">
              <w:rPr>
                <w:rFonts w:ascii="Times New Roman" w:hAnsi="Times New Roman"/>
                <w:sz w:val="21"/>
                <w:szCs w:val="21"/>
              </w:rPr>
              <w:t>…</w:t>
            </w:r>
            <w:r w:rsidR="002B5639">
              <w:rPr>
                <w:rFonts w:ascii="Times New Roman" w:hAnsi="Times New Roman"/>
                <w:sz w:val="21"/>
                <w:szCs w:val="21"/>
              </w:rPr>
              <w:t>Nieporęt……………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…………</w:t>
            </w:r>
          </w:p>
        </w:tc>
      </w:tr>
    </w:tbl>
    <w:p w14:paraId="7895072B" w14:textId="77777777"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14:paraId="4060DA20" w14:textId="77777777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C4B0CE" w14:textId="14AA7F1C"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C01A73" w:rsidRPr="00847E8E">
              <w:rPr>
                <w:rFonts w:ascii="Times New Roman" w:hAnsi="Times New Roman"/>
                <w:b/>
              </w:rPr>
              <w:t xml:space="preserve"> 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  <w:r w:rsidR="00C23CE1" w:rsidRPr="00847E8E">
              <w:t xml:space="preserve"> </w:t>
            </w:r>
          </w:p>
          <w:p w14:paraId="0840FE1A" w14:textId="2877FC1B"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14:paraId="04C7CF82" w14:textId="77777777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9CDDAE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1572B" w14:textId="27BFD96E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E93C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569C0" w14:textId="66CDF6E7" w:rsidR="00175C03" w:rsidRPr="002B5639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  <w:highlight w:val="black"/>
              </w:rPr>
            </w:pPr>
            <w:r w:rsidRPr="002B563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96EB79" w14:textId="77777777"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D4838F" w14:textId="163EBD7A"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5838E3E0" w14:textId="77777777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705771" w14:textId="774C2FEF"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0D739C7" w14:textId="3040B528"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14:paraId="5F315243" w14:textId="77777777"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14:paraId="53AE7F24" w14:textId="77777777"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2ECCD3" w14:textId="77777777"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</w:t>
            </w:r>
          </w:p>
          <w:p w14:paraId="70C1BCE9" w14:textId="77777777"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14:paraId="0BD07C30" w14:textId="1E8BCBB2"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14:paraId="01207DA1" w14:textId="77777777"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9"/>
        <w:gridCol w:w="394"/>
        <w:gridCol w:w="2729"/>
        <w:gridCol w:w="394"/>
        <w:gridCol w:w="2550"/>
        <w:gridCol w:w="6"/>
        <w:gridCol w:w="67"/>
        <w:gridCol w:w="45"/>
        <w:gridCol w:w="1097"/>
        <w:gridCol w:w="731"/>
      </w:tblGrid>
      <w:tr w:rsidR="00AF05A4" w:rsidRPr="00847E8E" w14:paraId="4E896761" w14:textId="77777777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803CE3" w14:textId="4F3277EA"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ACC189" w14:textId="6737FD7E" w:rsidR="002B0C8B" w:rsidRPr="00847E8E" w:rsidRDefault="002B0C8B" w:rsidP="002B563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="002B5639">
              <w:rPr>
                <w:rFonts w:ascii="Times New Roman" w:hAnsi="Times New Roman"/>
                <w:i/>
                <w:sz w:val="40"/>
                <w:szCs w:val="18"/>
              </w:rPr>
              <w:t>2</w:t>
            </w:r>
            <w:r w:rsidRPr="002B5639">
              <w:rPr>
                <w:rFonts w:ascii="Times New Roman" w:hAnsi="Times New Roman"/>
                <w:i/>
                <w:sz w:val="40"/>
                <w:szCs w:val="18"/>
              </w:rPr>
              <w:t>…</w:t>
            </w:r>
            <w:r w:rsidRPr="002B5639">
              <w:rPr>
                <w:rFonts w:ascii="Times New Roman" w:hAnsi="Times New Roman"/>
                <w:i/>
                <w:sz w:val="40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7B61E740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FE070" w14:textId="1FA8B579"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t xml:space="preserve"> 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  <w:r w:rsidR="0024702D" w:rsidRPr="00847E8E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</w:tc>
      </w:tr>
      <w:tr w:rsidR="00AF05A4" w:rsidRPr="00847E8E" w14:paraId="77686885" w14:textId="77777777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F175C9" w14:textId="5ADB5058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0A3D1" w14:textId="0790FD16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63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97640" w14:textId="2AA613D1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A293F" w14:textId="05F68E47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06602" w14:textId="4052F638"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32D5857" w14:textId="3F6F9A83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A2BE39" w14:textId="22956591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46CF1ACE" w14:textId="77777777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7EB205" w14:textId="027A91F7"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68065D3" w14:textId="2A317A0B"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5D37143B" w14:textId="77777777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431CC" w14:textId="01BA5BD0"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>, które</w:t>
            </w:r>
            <w:r w:rsidR="00133EFB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 xml:space="preserve">umożliwiają dostęp do wszystkich pomieszczeń, </w:t>
            </w:r>
            <w:bookmarkStart w:id="0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0"/>
            <w:r w:rsidRPr="00847E8E">
              <w:rPr>
                <w:rFonts w:ascii="Times New Roman" w:hAnsi="Times New Roman"/>
                <w:b/>
              </w:rPr>
              <w:t>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49227A6D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101352" w14:textId="7E2D7FB3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1FC3D" w14:textId="0EC3F1F5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F6ACFD" w14:textId="3288EEAA"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57576E" w14:textId="25169A8B"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289AE" w14:textId="71FF2CB8"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14:paraId="0BC1D18F" w14:textId="544F7650"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911013" w14:textId="16321D01"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63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AF05A4" w:rsidRPr="00847E8E" w14:paraId="768172CD" w14:textId="77777777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BF730D" w14:textId="072888D0"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DAD9031" w14:textId="6A04BB3D"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2B5639">
              <w:rPr>
                <w:rFonts w:ascii="Times New Roman" w:hAnsi="Times New Roman"/>
                <w:i/>
                <w:sz w:val="40"/>
                <w:szCs w:val="18"/>
              </w:rPr>
              <w:t>……</w:t>
            </w:r>
            <w:r w:rsidR="00FE76CC" w:rsidRPr="002B5639">
              <w:rPr>
                <w:rFonts w:ascii="Times New Roman" w:hAnsi="Times New Roman"/>
                <w:i/>
                <w:sz w:val="40"/>
                <w:szCs w:val="18"/>
              </w:rPr>
              <w:t>..</w:t>
            </w:r>
            <w:r w:rsidR="002B5639" w:rsidRPr="002B5639">
              <w:rPr>
                <w:rFonts w:ascii="Times New Roman" w:hAnsi="Times New Roman"/>
                <w:i/>
                <w:sz w:val="40"/>
                <w:szCs w:val="18"/>
              </w:rPr>
              <w:t>1</w:t>
            </w:r>
            <w:r w:rsidRPr="002B5639">
              <w:rPr>
                <w:rFonts w:ascii="Times New Roman" w:hAnsi="Times New Roman"/>
                <w:i/>
                <w:sz w:val="40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11F844A" w14:textId="77777777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1E1BDB" w14:textId="2055D492"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t xml:space="preserve"> 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14:paraId="73A64583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22DBA8" w14:textId="0337679F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518E87" w14:textId="76C47013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D5AA5B" w14:textId="7F8EE618"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F552AE" w14:textId="49FA9BCD" w:rsidR="00160AF4" w:rsidRPr="002B5639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2B563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97C2FE" w14:textId="281E34C9"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1171AD2A" w14:textId="187CEE01"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0CD077" w14:textId="1B066012"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14:paraId="692B7863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C59C17" w14:textId="51AFA4B3"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01EE9A" w14:textId="24CBB48B"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472C0A9F" w14:textId="77777777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66420" w14:textId="1472B7DD"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14:paraId="3F519B3E" w14:textId="77777777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A05E48" w14:textId="0B03A95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4DFF45" w14:textId="5D9E4457" w:rsidR="00E1782F" w:rsidRPr="002B5639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  <w:highlight w:val="black"/>
              </w:rPr>
            </w:pPr>
            <w:r w:rsidRPr="002B5639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46D182" w14:textId="26835322"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E04117" w14:textId="060D0A19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5C38DF" w14:textId="1718F680"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722DF987" w14:textId="491F1265"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lastRenderedPageBreak/>
              <w:t>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CA98B7" w14:textId="3D7443F5"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lastRenderedPageBreak/>
              <w:t>☐</w:t>
            </w:r>
          </w:p>
        </w:tc>
      </w:tr>
      <w:tr w:rsidR="00AF05A4" w:rsidRPr="00847E8E" w14:paraId="2C1BB179" w14:textId="77777777" w:rsidTr="00425F97">
        <w:tc>
          <w:tcPr>
            <w:tcW w:w="4382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BD6F8B" w14:textId="6EAF12DB"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lastRenderedPageBreak/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8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66CEF0D" w14:textId="058ED200"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14:paraId="6FB72402" w14:textId="77777777" w:rsidR="00425F97" w:rsidRPr="00847E8E" w:rsidRDefault="00425F97" w:rsidP="00425F97">
      <w:pPr>
        <w:spacing w:after="0" w:line="120" w:lineRule="auto"/>
        <w:rPr>
          <w:sz w:val="10"/>
          <w:szCs w:val="10"/>
        </w:rPr>
      </w:pPr>
      <w:r w:rsidRPr="00847E8E"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7"/>
        <w:gridCol w:w="662"/>
        <w:gridCol w:w="2567"/>
        <w:gridCol w:w="719"/>
        <w:gridCol w:w="2849"/>
        <w:gridCol w:w="672"/>
        <w:gridCol w:w="696"/>
      </w:tblGrid>
      <w:tr w:rsidR="00AF05A4" w:rsidRPr="00847E8E" w14:paraId="2C7F00CE" w14:textId="77777777" w:rsidTr="00233FF7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742A13" w14:textId="13D2FA8B" w:rsidR="00915261" w:rsidRPr="00847E8E" w:rsidRDefault="008F7306" w:rsidP="00C81E2E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 xml:space="preserve">5. Czy podmiot zapewnia </w:t>
            </w:r>
            <w:r w:rsidR="0052755E" w:rsidRPr="00847E8E">
              <w:rPr>
                <w:rFonts w:ascii="Times New Roman" w:hAnsi="Times New Roman"/>
                <w:b/>
              </w:rPr>
              <w:t>w przypadku tego budynku (tych budynków)</w:t>
            </w:r>
            <w:r w:rsidR="00811084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osobom ze sz</w:t>
            </w:r>
            <w:r w:rsidR="008D5603" w:rsidRPr="00847E8E">
              <w:rPr>
                <w:rFonts w:ascii="Times New Roman" w:hAnsi="Times New Roman"/>
                <w:b/>
              </w:rPr>
              <w:t>czególnymi potrzebami możliwość</w:t>
            </w:r>
            <w:r w:rsidRPr="00847E8E">
              <w:rPr>
                <w:rFonts w:ascii="Times New Roman" w:hAnsi="Times New Roman"/>
                <w:b/>
              </w:rPr>
              <w:t xml:space="preserve"> ewakuacji lub uratowania w inny sposób?</w:t>
            </w:r>
            <w:r w:rsidR="00C81E2E" w:rsidRPr="00847E8E">
              <w:rPr>
                <w:rFonts w:ascii="Times New Roman" w:hAnsi="Times New Roman"/>
                <w:b/>
              </w:rPr>
              <w:t xml:space="preserve"> </w:t>
            </w:r>
            <w:r w:rsidR="00915261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811615" w:rsidRPr="00847E8E" w14:paraId="2FBF837C" w14:textId="77777777" w:rsidTr="00425F97">
        <w:tc>
          <w:tcPr>
            <w:tcW w:w="1232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EB9E0" w14:textId="2DEE7DE7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D9474" w14:textId="45D96F16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21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4E3F6" w14:textId="45B30076" w:rsidR="004E1844" w:rsidRPr="00847E8E" w:rsidRDefault="004E1844" w:rsidP="00AB0B8A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1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A0238" w14:textId="392A4913" w:rsidR="004E1844" w:rsidRPr="00847E8E" w:rsidRDefault="004E184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957CCE" w14:textId="77777777" w:rsidR="004E1844" w:rsidRPr="00847E8E" w:rsidRDefault="004E1844" w:rsidP="0045339C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14:paraId="6A1424D6" w14:textId="48066E1F" w:rsidR="004E1844" w:rsidRPr="00847E8E" w:rsidRDefault="004E1844" w:rsidP="005D29D0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303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D627BF" w14:textId="76427023" w:rsidR="004E1844" w:rsidRPr="00847E8E" w:rsidRDefault="004E1844" w:rsidP="00DA7B89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tr w:rsidR="00811615" w:rsidRPr="00847E8E" w14:paraId="6FC1D81F" w14:textId="77777777" w:rsidTr="00425F97">
        <w:tc>
          <w:tcPr>
            <w:tcW w:w="440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23EF41" w14:textId="1A159D75" w:rsidR="00491652" w:rsidRPr="00847E8E" w:rsidRDefault="00491652" w:rsidP="0074226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</w:t>
            </w:r>
            <w:r w:rsidR="00742269" w:rsidRPr="00847E8E">
              <w:rPr>
                <w:rFonts w:ascii="Times New Roman" w:hAnsi="Times New Roman"/>
                <w:sz w:val="20"/>
                <w:szCs w:val="20"/>
              </w:rPr>
              <w:t xml:space="preserve">my o podanie liczby budynków, w których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osobom ze szc</w:t>
            </w:r>
            <w:r w:rsidR="00DD4975" w:rsidRPr="00847E8E">
              <w:rPr>
                <w:rFonts w:ascii="Times New Roman" w:hAnsi="Times New Roman"/>
                <w:sz w:val="20"/>
                <w:szCs w:val="20"/>
              </w:rPr>
              <w:t xml:space="preserve">zególnymi potrzebami możliwość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ewakuacji lub uratowania w inny sposób: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A9E8E32" w14:textId="764CB7E6" w:rsidR="00491652" w:rsidRPr="00847E8E" w:rsidRDefault="00491652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F7A34">
              <w:rPr>
                <w:rFonts w:ascii="Times New Roman" w:hAnsi="Times New Roman"/>
                <w:i/>
                <w:sz w:val="24"/>
                <w:szCs w:val="18"/>
              </w:rPr>
              <w:t>……</w:t>
            </w:r>
            <w:r w:rsidR="008F7A34" w:rsidRPr="008F7A34">
              <w:rPr>
                <w:rFonts w:ascii="Times New Roman" w:hAnsi="Times New Roman"/>
                <w:i/>
                <w:sz w:val="24"/>
                <w:szCs w:val="18"/>
              </w:rPr>
              <w:t>1</w:t>
            </w:r>
            <w:r w:rsidRPr="008F7A34">
              <w:rPr>
                <w:rFonts w:ascii="Times New Roman" w:hAnsi="Times New Roman"/>
                <w:i/>
                <w:sz w:val="24"/>
                <w:szCs w:val="18"/>
              </w:rPr>
              <w:t>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14:paraId="2496C1B3" w14:textId="77777777" w:rsidTr="00233FF7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8D13CC" w14:textId="2F8243B9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14:paraId="76DB06FE" w14:textId="6919CB92" w:rsidR="00491652" w:rsidRPr="00847E8E" w:rsidRDefault="00491652" w:rsidP="00987CDD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pis ten będzie stanowić część raportu, który są </w:t>
            </w:r>
            <w:r w:rsidR="00A31D46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Państwo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zobowiązani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opublikować</w:t>
            </w:r>
            <w:r w:rsidR="003851F9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 w:rsidR="000D08AA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="008F791D"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)</w:t>
            </w:r>
          </w:p>
          <w:p w14:paraId="3312CB4E" w14:textId="77777777" w:rsidR="00491652" w:rsidRDefault="00491652" w:rsidP="006E2FDC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="00811615"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56F11721" w14:textId="77777777" w:rsidR="00431FD5" w:rsidRDefault="00431FD5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1F10353" w14:textId="627D720E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64B472C9" w14:textId="77777777" w:rsidR="00B032AB" w:rsidRDefault="00B032AB" w:rsidP="00B5169E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14:paraId="79A480E7" w14:textId="77777777" w:rsidR="00F34B52" w:rsidRDefault="00F34B52" w:rsidP="00F34B5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14:paraId="0A24106C" w14:textId="36F20FBC" w:rsidR="00F34B52" w:rsidRPr="00847E8E" w:rsidRDefault="00F34B52" w:rsidP="00F34B5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14:paraId="558D66F5" w14:textId="7FD219B5" w:rsidR="00FC5C0E" w:rsidRPr="00847E8E" w:rsidRDefault="00AC4313" w:rsidP="00237B19">
      <w:pPr>
        <w:tabs>
          <w:tab w:val="left" w:pos="4785"/>
        </w:tabs>
        <w:spacing w:before="240" w:after="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2.</w:t>
      </w:r>
      <w:r w:rsidR="008640E3" w:rsidRPr="00847E8E">
        <w:rPr>
          <w:rFonts w:ascii="Times New Roman" w:hAnsi="Times New Roman"/>
          <w:b/>
          <w:sz w:val="24"/>
          <w:szCs w:val="24"/>
        </w:rPr>
        <w:t xml:space="preserve"> 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14:paraId="305D91B6" w14:textId="1F3EBF6E"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1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>w związku z art. 2 oraz art. 6 pkt 2</w:t>
      </w:r>
      <w:r w:rsidR="001205A6" w:rsidRPr="00847E8E">
        <w:rPr>
          <w:rFonts w:ascii="Times New Roman" w:hAnsi="Times New Roman"/>
          <w:bCs/>
          <w:iCs/>
          <w:sz w:val="19"/>
          <w:szCs w:val="19"/>
        </w:rPr>
        <w:t xml:space="preserve">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14:paraId="00B218F6" w14:textId="77777777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1"/>
          <w:p w14:paraId="10ABB116" w14:textId="039D56DA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B554C9" w14:textId="49F99C78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38827AE9" w14:textId="589BA9C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62B81D52" w14:textId="77777777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744073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5D966A0" w14:textId="5FFEAA8C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4042EE2D" w14:textId="4FF10F3B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4430AE7A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49BEFC" w14:textId="1D041CB0"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C81E2E" w:rsidRPr="00847E8E">
              <w:rPr>
                <w:rFonts w:ascii="Times New Roman" w:hAnsi="Times New Roman"/>
              </w:rPr>
              <w:t xml:space="preserve"> 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14:paraId="18A30A2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A24B80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37246C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7D228B" w14:textId="77777777"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14:paraId="3A9CE7C4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899CF" w14:textId="19A9921D" w:rsidR="004B60BD" w:rsidRPr="00847E8E" w:rsidRDefault="008F7A3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bip.cr.nieporet.pl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C183C6" w14:textId="0C3F8A9E"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8F7A34">
              <w:rPr>
                <w:rFonts w:ascii="Segoe UI Symbol" w:hAnsi="Segoe UI Symbol" w:cs="Segoe UI Symbol"/>
                <w:sz w:val="18"/>
                <w:szCs w:val="18"/>
                <w:highlight w:val="black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91A25" w14:textId="0A55BC33" w:rsidR="004B60BD" w:rsidRPr="00847E8E" w:rsidRDefault="008F7A3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23.09.2019</w:t>
            </w:r>
          </w:p>
        </w:tc>
      </w:tr>
      <w:tr w:rsidR="00842600" w:rsidRPr="00847E8E" w14:paraId="3DA5CEA8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F6FDC" w14:textId="4CE1B7D1" w:rsidR="00842600" w:rsidRPr="00847E8E" w:rsidRDefault="008F7A3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osir.nieporet.pl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2354DE" w14:textId="7CB58CC3"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8F7A34">
              <w:rPr>
                <w:rFonts w:ascii="Segoe UI Symbol" w:hAnsi="Segoe UI Symbol" w:cs="Segoe UI Symbol"/>
                <w:sz w:val="18"/>
                <w:szCs w:val="18"/>
                <w:highlight w:val="black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7B8B90" w14:textId="162199E4" w:rsidR="00842600" w:rsidRPr="00847E8E" w:rsidRDefault="008F7A34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23.09.2019</w:t>
            </w:r>
          </w:p>
        </w:tc>
      </w:tr>
      <w:tr w:rsidR="00AF05A4" w:rsidRPr="00847E8E" w14:paraId="14371DA9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741A61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24BC59" w14:textId="5BE60BF9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5A9C9E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14:paraId="2030643B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9A214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4BB042" w14:textId="23664878"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hAnsi="Segoe UI Symbol" w:cs="Segoe UI Symbol"/>
                <w:sz w:val="18"/>
                <w:szCs w:val="18"/>
              </w:rPr>
              <w:t xml:space="preserve">    </w:t>
            </w:r>
            <w:r w:rsidR="00E6614C">
              <w:rPr>
                <w:rFonts w:ascii="Segoe UI Symbol" w:hAnsi="Segoe UI Symbol" w:cs="Segoe UI Symbol"/>
                <w:sz w:val="18"/>
                <w:szCs w:val="18"/>
              </w:rPr>
              <w:t xml:space="preserve">   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B5A965" w14:textId="77777777"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14:paraId="02B2CFE3" w14:textId="77777777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81EB6B" w14:textId="46199C4C"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316CB8" w14:textId="107DF024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7D24AAA1" w14:textId="22197D7F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8F7A34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14:paraId="17F3E6E2" w14:textId="77777777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DDF270" w14:textId="77777777"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AA644A" w14:textId="0C8815B3"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0CD6652B" w14:textId="32BE9680"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14:paraId="609BC302" w14:textId="77777777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ED31CA" w14:textId="51558152"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14:paraId="563E897D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951F82" w14:textId="0339D1D4"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E6B1C4" w14:textId="5B55EB79"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14:paraId="3F46F43F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D5FB8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BDF17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E5DB24" w14:textId="610D3158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14DDA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8826F7" w14:textId="5BC0DDC5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4B76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060DA9" w14:textId="0C394661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14:paraId="3CBB6633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14E570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2B74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2E0478" w14:textId="19766F82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6E5C1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CFB8CC" w14:textId="78AEC58B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F126C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6A6541" w14:textId="5C2BA915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286F62B1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4C8877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1C4A8C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64A684" w14:textId="357ADD6F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54DEA1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EDCE08" w14:textId="696EF42C"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05F96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3CA413" w14:textId="2367CEA6"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6C7A745" w14:textId="77777777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29E875" w14:textId="77777777"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14:paraId="54777701" w14:textId="77777777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68E8F2" w14:textId="7565EC9F"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BD4E74" w14:textId="7F382606"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Zgodność z UdC </w:t>
            </w:r>
            <w:r w:rsidR="00CC7A15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14:paraId="53094B10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1D4A6B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BC9150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1F6481" w14:textId="244C7C78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F9CC8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0E5810" w14:textId="1C6B203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55022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06FAE" w14:textId="129B1B56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50625907" w14:textId="77777777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19163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33E02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EEB1A8" w14:textId="0DAB25BC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227F8E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4386F" w14:textId="1F16599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75EFF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83911A" w14:textId="15AD5633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0E6CC44C" w14:textId="77777777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FE3F6D" w14:textId="77777777"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D4294B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40DCEB" w14:textId="4EDDF68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67DF77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F4A5A3" w14:textId="50DF6FAF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303AD" w14:textId="77777777"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30FD28" w14:textId="4A4918A5"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14:paraId="6ECC35A5" w14:textId="77777777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B34623" w14:textId="12C2A251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14:paraId="672AE57B" w14:textId="25F78149"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14:paraId="500FB178" w14:textId="555CE0DA"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14:paraId="71CAE305" w14:textId="77777777"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14:paraId="6B4C725C" w14:textId="0F742A0F"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14:paraId="5C19205D" w14:textId="77777777"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14:paraId="50684D8B" w14:textId="77777777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B5244D" w14:textId="77777777"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14:paraId="29A59595" w14:textId="03619DF7"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14:paraId="4A79FB88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73B439" w14:textId="19716BCE"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D5C9AC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A69297" w14:textId="186E6BA4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529328" w14:textId="77777777"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E43961" w14:textId="294EA037"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9D1A759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35A36" w14:textId="74AA995B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98A03C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7F6BD" w14:textId="5F243FFB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D17B71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795C2B" w14:textId="4865162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603E718F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0DF758" w14:textId="6B04C8C6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6C807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C4A550" w14:textId="0CB75784" w:rsidR="009A09A3" w:rsidRPr="008F7A34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  <w:highlight w:val="black"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06AFB4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8F445D" w14:textId="69109F07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4127F8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97699E" w14:textId="611DE7AC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BBB71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16C3F15" w14:textId="70A51E25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CCBE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E7AE31" w14:textId="3DB1B1D9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14:paraId="3B2936E0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B25706" w14:textId="7CA0AD65"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C14EE2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BF570" w14:textId="09825E51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03B283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E429ED" w14:textId="7F6F816C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600BCA" w:rsidRPr="00847E8E" w14:paraId="17E0B8D1" w14:textId="77777777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AF7AF" w14:textId="502053A9"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CB2E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1899A5" w14:textId="6968FA0D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CB123A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6871941" w14:textId="73C51666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1B6639" w:rsidRPr="00847E8E" w14:paraId="57CC62F3" w14:textId="77777777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1EFA7A" w14:textId="60E5505F"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D7E9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16EB53" w14:textId="7B4DC080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4E955B" w14:textId="77777777"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C4CBD4" w14:textId="6AF94528"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501B5A" w:rsidRPr="00847E8E" w14:paraId="3EAE0D63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CE36F" w14:textId="1D709EF9"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8A6F8A">
              <w:rPr>
                <w:rFonts w:ascii="Times New Roman" w:hAnsi="Times New Roman"/>
                <w:sz w:val="19"/>
                <w:szCs w:val="19"/>
              </w:rPr>
              <w:t xml:space="preserve">  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14:paraId="74B87D4F" w14:textId="71A2E30B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DA4D2B4" w14:textId="33BDF9BE"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4EA9536" w14:textId="1A22C0D2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5B35F28C" w14:textId="424C071D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0ED1064" w14:textId="79B9C0AB"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14:paraId="447C8E12" w14:textId="77777777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AC326A" w14:textId="1C58D7E4"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16E9F2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19AFCC" w14:textId="70DEF166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79F880" w14:textId="77777777"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13F4D13" w14:textId="33DFBC7C"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F7A34">
              <w:rPr>
                <w:rFonts w:ascii="MS Gothic" w:eastAsia="MS Gothic" w:hAnsi="MS Gothic" w:hint="eastAsia"/>
                <w:sz w:val="24"/>
                <w:szCs w:val="24"/>
                <w:highlight w:val="black"/>
              </w:rPr>
              <w:t>☐</w:t>
            </w:r>
          </w:p>
        </w:tc>
      </w:tr>
      <w:tr w:rsidR="0097326B" w:rsidRPr="00847E8E" w14:paraId="687340D6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2166D8" w14:textId="7F8975F9"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2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2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="005227C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14:paraId="3DE8E099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6F3FC" w14:textId="47918C6F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3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AE151" w14:textId="3E36D6F0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2A0F0" w14:textId="0A198DA5"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4813E299" w14:textId="7C6C55F4"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</w:tr>
      <w:bookmarkEnd w:id="3"/>
      <w:tr w:rsidR="00825A0A" w:rsidRPr="00847E8E" w14:paraId="25B57458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B3FD0" w14:textId="4496624A"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011BE1E3" w14:textId="01B4716B"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14:paraId="6C0E86DE" w14:textId="77777777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9064F1" w14:textId="5E9121CE"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14:paraId="3D3D1442" w14:textId="2D3E927E"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14:paraId="6B3F0778" w14:textId="46F0376B" w:rsidR="00E00A9D" w:rsidRPr="00847E8E" w:rsidRDefault="00E00A9D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</w:t>
            </w:r>
            <w:r w:rsidR="008F7A34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633B690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58F1A8" w14:textId="0F9A4813"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EF46AE">
              <w:rPr>
                <w:rFonts w:ascii="Times New Roman" w:hAnsi="Times New Roman"/>
                <w:b/>
              </w:rPr>
              <w:t xml:space="preserve"> 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14:paraId="04D3B082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386DA8" w14:textId="77777777"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14:paraId="46CED0C8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27230C" w14:textId="20D4AEAC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0786990" w14:textId="1A3DC607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7689DC" w14:textId="6DB723D2"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4C93A0E0" w14:textId="25E61F16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6546C0" w14:textId="5667D31C"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14:paraId="568F970D" w14:textId="4484B6E3"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DA2BA38" w14:textId="018488C2"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2FFB8624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C6BB7" w14:textId="7C41E783"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2D03E7" w14:textId="520A27F4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7DD94BC4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5E905" w14:textId="52B54F04"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14:paraId="0B35A1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3C8E13" w14:textId="5001DBAE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22329B8" w14:textId="72557B4C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4683C" w14:textId="377B692D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261FB152" w14:textId="147EADD4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70BBFA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28E2635E" w14:textId="7BEAD11B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100AD90E" w14:textId="491E9C3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616E339D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86C2DB" w14:textId="5046A151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3EE20D5" w14:textId="6AAB982D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14:paraId="48EE8A39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BEFCA1" w14:textId="563EE788"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14:paraId="343B26A4" w14:textId="77777777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398F77" w14:textId="7DD43FD2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5418B23" w14:textId="52A15F9D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83C5C9" w14:textId="4139E888"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50479B8A" w14:textId="659A83FE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CC3F3F" w14:textId="77777777"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14:paraId="6626F025" w14:textId="0E71ED05"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14:paraId="7ED7B4AC" w14:textId="6FF317B0"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14:paraId="3FEC0FFB" w14:textId="77777777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463AAB" w14:textId="5D2F7D58"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D458AD7" w14:textId="53F9DCB3"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14:paraId="61EA70BD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EC50F5" w14:textId="7E8BE69D"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0F16C7">
              <w:rPr>
                <w:rFonts w:ascii="Times New Roman" w:hAnsi="Times New Roman"/>
                <w:b/>
              </w:rPr>
              <w:t xml:space="preserve"> 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Pr="00847E8E">
              <w:rPr>
                <w:rFonts w:ascii="Times New Roman" w:hAnsi="Times New Roman"/>
                <w:b/>
                <w:spacing w:val="-20"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0F16C7">
              <w:rPr>
                <w:rFonts w:ascii="Times New Roman" w:hAnsi="Times New Roman"/>
                <w:b/>
              </w:rPr>
              <w:t xml:space="preserve"> 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</w:t>
            </w:r>
            <w:r w:rsidR="00B42238"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b/>
              </w:rPr>
              <w:t>możliwość komunikacji w formie określonej w tym wniosku?</w:t>
            </w:r>
            <w:r w:rsidR="00D62B81" w:rsidRPr="00847E8E">
              <w:rPr>
                <w:rFonts w:ascii="Times New Roman" w:hAnsi="Times New Roman"/>
                <w:b/>
              </w:rPr>
              <w:t xml:space="preserve"> 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14:paraId="470AB89F" w14:textId="77777777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953740" w14:textId="754180D3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7580FE" w14:textId="01E1F60E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F7A34">
              <w:rPr>
                <w:rFonts w:ascii="MS Gothic" w:eastAsia="MS Gothic" w:hAnsi="MS Gothic" w:hint="eastAsia"/>
                <w:sz w:val="28"/>
                <w:szCs w:val="28"/>
                <w:highlight w:val="black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E27BF2" w14:textId="7AC6D17B"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64B9CD6D" w14:textId="3CBC8C24"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81BB6" w:rsidRPr="00847E8E" w14:paraId="1C5ED7AB" w14:textId="77777777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3E32B" w14:textId="2D9494E8"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14:paraId="0A77E360" w14:textId="41687399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B777B3" w14:textId="088AEC40"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  <w:r w:rsidR="008F7A34">
              <w:rPr>
                <w:rFonts w:ascii="Times New Roman" w:hAnsi="Times New Roman"/>
                <w:b/>
              </w:rPr>
              <w:t>0</w:t>
            </w:r>
            <w:bookmarkStart w:id="4" w:name="_GoBack"/>
            <w:bookmarkEnd w:id="4"/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14:paraId="5F277B17" w14:textId="39528F66"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14:paraId="63AF1000" w14:textId="77777777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0A8321A4" w14:textId="0D64DFD6"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</w:t>
            </w:r>
            <w:r w:rsidR="00D7599F"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>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  <w:r w:rsidRPr="00061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475FEE" w14:textId="211921C6"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14:paraId="1B7AEEEF" w14:textId="77777777"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DF4640D" w14:textId="562CF49B"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1049AEBE" w14:textId="3F093350"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14:paraId="5F026B9D" w14:textId="41C607A3"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>pytania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="001E0DFC">
        <w:rPr>
          <w:rFonts w:ascii="Times New Roman" w:hAnsi="Times New Roman"/>
          <w:bCs/>
          <w:iCs/>
          <w:sz w:val="20"/>
          <w:szCs w:val="20"/>
        </w:rPr>
        <w:t xml:space="preserve">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4"/>
        <w:gridCol w:w="708"/>
        <w:gridCol w:w="2552"/>
        <w:gridCol w:w="3067"/>
        <w:gridCol w:w="1134"/>
      </w:tblGrid>
      <w:tr w:rsidR="00A22D67" w:rsidRPr="00847E8E" w14:paraId="667D46EB" w14:textId="77777777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CB5B5F" w14:textId="6E306732"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14:paraId="2B5A82B8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ADD18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40E91D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3BE010" w14:textId="77777777"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0FC08C" w14:textId="77777777"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383EC1" w:rsidRPr="00847E8E" w14:paraId="6EFF8E4D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B0BAEB" w14:textId="70C06B4A"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14:paraId="50CE0B3D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168580" w14:textId="1BBF6B0D"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E0C816D" w14:textId="0D3A134F"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14:paraId="07B2F3D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1F86F" w14:textId="03904DB6"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34E759DE" w14:textId="77777777"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FB5EE37" w14:textId="77777777"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1809037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7EF13CB5" w14:textId="6C297ED2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14:paraId="206793CC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4C97C8" w14:textId="2BBEB370"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t xml:space="preserve">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14:paraId="5D2A419F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A99474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B0ED8C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95F1AC" w14:textId="77777777"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6516D8" w14:textId="77777777"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814A2" w:rsidRPr="00847E8E" w14:paraId="418AF964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2452D8" w14:textId="77777777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14:paraId="4A55B703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8E51C4" w14:textId="322C5758"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DE376E9" w14:textId="77777777"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14:paraId="4A0A9874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1CE7B" w14:textId="6DCF66A6"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10FBF098" w14:textId="77777777"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11E8DFB9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DDB85A3" w14:textId="77777777"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14:paraId="254B04F9" w14:textId="59A2985A"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14:paraId="510F064F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2D841" w14:textId="1412860E"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b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6D4D3BD3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B5D0B6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A149B6D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39B7F1D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683F32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73CD2A87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FD059D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408F811B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E57CB9" w14:textId="64855FB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EE8C77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7ED157FB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58B469" w14:textId="5201E12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8A6F8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21A79A85" w14:textId="75AC239F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7AA580B1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DE9CC6B" w14:textId="77777777"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3D54156A" w14:textId="77777777"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20E048C" w14:textId="5DC656C0"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14:paraId="6C7516DD" w14:textId="77777777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008181" w14:textId="733456C8"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14:paraId="09793BE9" w14:textId="77777777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FB16CB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642FC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664A432" w14:textId="77777777"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FC0C86" w14:textId="77777777"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7661D4" w:rsidRPr="00847E8E" w14:paraId="04AC97A0" w14:textId="77777777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FC1B36" w14:textId="77777777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14:paraId="7AE0A760" w14:textId="77777777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4180A8" w14:textId="53183FB2"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27F19B54" w14:textId="77777777"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14:paraId="2EB28F3C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2011E" w14:textId="2CD92B52"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</w:t>
            </w:r>
            <w:r w:rsidRPr="00847E8E"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w sposób inny niż wymienione wyżej: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67DF7695" w14:textId="77777777"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11EB7F0D" w14:textId="77777777"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14:paraId="0E68394D" w14:textId="77777777"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14:paraId="71719D75" w14:textId="4F6AE975"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14:paraId="2DFF7EF0" w14:textId="77777777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A2E13" w14:textId="225FA88E"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="00C514D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14:paraId="4CD66537" w14:textId="77777777"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14:paraId="57F5BA6F" w14:textId="77777777"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14:paraId="1F8AE1A7" w14:textId="08FE0ACC"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78956E8D" w14:textId="77777777"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0"/>
        <w:gridCol w:w="300"/>
      </w:tblGrid>
      <w:tr w:rsidR="00FF3ED3" w:rsidRPr="00847E8E" w14:paraId="18AA6317" w14:textId="77777777" w:rsidTr="00FF3ED3">
        <w:tc>
          <w:tcPr>
            <w:tcW w:w="110" w:type="pct"/>
          </w:tcPr>
          <w:p w14:paraId="174BF54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D3ACAE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3879E7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4D645A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3B8B4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65A508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1CFED95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0DA633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51D1902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8554E5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BAC865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4AAFD7F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ECB999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D05FB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BF4E73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D570CD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9532B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9C71B0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6659EA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53838FA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792BF673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69A9DBA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4A1BD78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BEE505B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208D698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166244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31C4BF1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3E2CC76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ECAAA2E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FEF5BFD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6CA8B20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1EC1B9F1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14:paraId="0907037C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135813E9" w14:textId="77777777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14:paraId="6D1D509C" w14:textId="554A02BE"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D8350BC" w14:textId="4911821D"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FF3ED3" w:rsidRPr="00847E8E" w14:paraId="66A90329" w14:textId="77777777" w:rsidTr="00B44809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vAlign w:val="bottom"/>
          </w:tcPr>
          <w:p w14:paraId="229619E2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66" w:type="dxa"/>
            <w:vAlign w:val="bottom"/>
          </w:tcPr>
          <w:p w14:paraId="736BB4F6" w14:textId="05AC0FB5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7E8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14:paraId="060A349C" w14:textId="77777777" w:rsidR="00FF3ED3" w:rsidRPr="00847E8E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F3ED3" w:rsidRPr="00847E8E" w14:paraId="7AEB4010" w14:textId="77777777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14:paraId="663CAA76" w14:textId="6C7ECF69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14:paraId="40645918" w14:textId="77777777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14:paraId="64BABA98" w14:textId="11ECFC1D"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14:paraId="2E05A651" w14:textId="77777777"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4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14:paraId="29CA38AF" w14:textId="6AC4F525"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14:paraId="4DED6172" w14:textId="0AACA49F"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14:paraId="26C04462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14:paraId="390C21A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14:paraId="217379B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14:paraId="6610C229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14:paraId="2BF57B95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14:paraId="0392D10F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14:paraId="326ADC54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14:paraId="48935EFA" w14:textId="77777777"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14:paraId="5F3CB97F" w14:textId="47EE0123"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14:paraId="37A5187A" w14:textId="0522B07D"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14:paraId="53A8C3E8" w14:textId="48EF5FFE"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Pr="00847E8E">
        <w:rPr>
          <w:rFonts w:ascii="Times New Roman" w:hAnsi="Times New Roman"/>
          <w:sz w:val="18"/>
        </w:rPr>
        <w:t xml:space="preserve"> 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14:paraId="0C706EFB" w14:textId="77777777"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14:paraId="4B2B7A2E" w14:textId="7246F36D"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="00B11C1E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463FA5" w:rsidRPr="00847E8E">
        <w:rPr>
          <w:rFonts w:ascii="Times New Roman" w:hAnsi="Times New Roman"/>
          <w:sz w:val="18"/>
        </w:rPr>
        <w:t xml:space="preserve"> 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14:paraId="5DFB0C94" w14:textId="4369BD52"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14:paraId="031E69C1" w14:textId="6ABF736D"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  <w:r w:rsidR="00314374" w:rsidRPr="00847E8E">
        <w:rPr>
          <w:rFonts w:ascii="Times New Roman" w:hAnsi="Times New Roman"/>
          <w:sz w:val="18"/>
        </w:rPr>
        <w:t xml:space="preserve"> </w:t>
      </w:r>
    </w:p>
    <w:p w14:paraId="65EB0E3E" w14:textId="77777777"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14:paraId="40CBB860" w14:textId="165FCB1C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14:paraId="0EC90D43" w14:textId="1A786A0F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="00314374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14:paraId="520E71CB" w14:textId="697EA779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14:paraId="4F696D4C" w14:textId="5D549913"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14:paraId="0E79089B" w14:textId="77777777"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14:paraId="544BEDC3" w14:textId="6CBEED7C"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14:paraId="5C783021" w14:textId="37BD5637"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Pr="00847E8E">
        <w:rPr>
          <w:rFonts w:ascii="Times New Roman" w:hAnsi="Times New Roman"/>
          <w:sz w:val="18"/>
        </w:rPr>
        <w:t xml:space="preserve"> 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14:paraId="1F97BA81" w14:textId="4EFD418E"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14:paraId="1ADABCA9" w14:textId="3FA87760"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14:paraId="5484520C" w14:textId="70EBD2EB"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r w:rsidRPr="00847E8E">
        <w:rPr>
          <w:rFonts w:ascii="Times New Roman" w:hAnsi="Times New Roman"/>
          <w:sz w:val="18"/>
        </w:rPr>
        <w:t xml:space="preserve"> 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Pr="00847E8E">
        <w:rPr>
          <w:rFonts w:ascii="Times New Roman" w:hAnsi="Times New Roman"/>
          <w:sz w:val="18"/>
        </w:rPr>
        <w:t xml:space="preserve"> </w:t>
      </w:r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14:paraId="734C681A" w14:textId="0A96D489"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="00705F0B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14:paraId="7B726569" w14:textId="06B1D144"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14:paraId="6EA96E78" w14:textId="7E7DCD86"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14:paraId="74FFDF36" w14:textId="50156428"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Informacja na temat rozkładu pomieszczeń może być zapewniana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w </w:t>
      </w:r>
      <w:r w:rsidR="00C514D4" w:rsidRPr="00847E8E">
        <w:rPr>
          <w:rFonts w:ascii="Times New Roman" w:hAnsi="Times New Roman"/>
          <w:sz w:val="18"/>
        </w:rPr>
        <w:t>sposób:</w:t>
      </w:r>
    </w:p>
    <w:p w14:paraId="172310EF" w14:textId="7B37F66D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374D4D1C" w14:textId="25C8FA10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14:paraId="2B93EC10" w14:textId="442A3B74"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</w:t>
      </w:r>
      <w:r w:rsidR="00EB2B08" w:rsidRPr="00847E8E">
        <w:rPr>
          <w:rFonts w:ascii="Times New Roman" w:hAnsi="Times New Roman"/>
          <w:sz w:val="18"/>
        </w:rPr>
        <w:t xml:space="preserve"> </w:t>
      </w:r>
      <w:r w:rsidR="007E5606" w:rsidRPr="00847E8E">
        <w:rPr>
          <w:rFonts w:ascii="Times New Roman" w:hAnsi="Times New Roman"/>
          <w:sz w:val="18"/>
        </w:rPr>
        <w:t xml:space="preserve">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14:paraId="2FF9DFA0" w14:textId="4B71B654"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 xml:space="preserve"> infokiosk lub infomat z informacją w języku migowym i/lub z informacją głosową wyposażony w pętlę indukcyjną.</w:t>
      </w:r>
    </w:p>
    <w:p w14:paraId="2F64F5A4" w14:textId="646CA01C"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14:paraId="0D1680DE" w14:textId="130B7ECB"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>e</w:t>
      </w:r>
      <w:r w:rsidR="00EB27D6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 xml:space="preserve">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14:paraId="73BC9441" w14:textId="56D147FD"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  <w:r w:rsidR="00CC4998" w:rsidRPr="00847E8E">
        <w:rPr>
          <w:rFonts w:ascii="Times New Roman" w:hAnsi="Times New Roman"/>
          <w:sz w:val="18"/>
        </w:rPr>
        <w:t xml:space="preserve"> </w:t>
      </w:r>
      <w:r w:rsidRPr="00847E8E">
        <w:rPr>
          <w:rFonts w:ascii="Times New Roman" w:hAnsi="Times New Roman"/>
          <w:sz w:val="18"/>
        </w:rPr>
        <w:t>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14:paraId="57D694FA" w14:textId="4DD17326"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t xml:space="preserve"> 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14:paraId="171224F5" w14:textId="0A734CA5"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14:paraId="364326D8" w14:textId="5D2B910B"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14:paraId="6B683A2C" w14:textId="4F7349CE"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14:paraId="1839D1F5" w14:textId="72076424"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14:paraId="377BAFB8" w14:textId="07D9FF07"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14:paraId="76B18DA5" w14:textId="0EE88B0B"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="004876C4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14:paraId="44E62365" w14:textId="0AA16823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14:paraId="4BE8B5B4" w14:textId="77777777"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14:paraId="5E1E2AC3" w14:textId="77777777"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14:paraId="465B62EA" w14:textId="5B31978A"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14:paraId="188F6094" w14:textId="009659ED"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14:paraId="3AEE9050" w14:textId="67967742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14:paraId="762B5985" w14:textId="2FB2BF91"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14:paraId="78164B02" w14:textId="58013F6E"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jak bezprzewodowy</w:t>
      </w:r>
      <w:r w:rsidRPr="00847E8E">
        <w:rPr>
          <w:rFonts w:ascii="Times New Roman" w:hAnsi="Times New Roman"/>
          <w:sz w:val="18"/>
        </w:rPr>
        <w:t xml:space="preserve"> </w:t>
      </w:r>
      <w:r w:rsidR="003E009C" w:rsidRPr="00847E8E">
        <w:rPr>
          <w:rFonts w:ascii="Times New Roman" w:hAnsi="Times New Roman"/>
          <w:sz w:val="18"/>
        </w:rPr>
        <w:t>zestaw głośnomówiący.</w:t>
      </w:r>
    </w:p>
    <w:p w14:paraId="0A488A22" w14:textId="09FDA17D"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14:paraId="1884BF39" w14:textId="77777777"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14:paraId="1BE7FE50" w14:textId="429E7E97"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14:paraId="2E14133D" w14:textId="70E55008"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14:paraId="5332CC46" w14:textId="76FB9C95"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14:paraId="5ED36D59" w14:textId="4A6A7282"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14:paraId="37B451B0" w14:textId="420EED17"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>aby osoba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 xml:space="preserve">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="00017D78" w:rsidRPr="00847E8E">
        <w:rPr>
          <w:rFonts w:ascii="Times New Roman" w:hAnsi="Times New Roman"/>
          <w:bCs/>
          <w:sz w:val="18"/>
        </w:rPr>
        <w:t>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</w:t>
      </w:r>
      <w:r w:rsidR="006B0B91" w:rsidRPr="00847E8E">
        <w:rPr>
          <w:rFonts w:ascii="Times New Roman" w:hAnsi="Times New Roman"/>
          <w:bCs/>
          <w:sz w:val="18"/>
        </w:rPr>
        <w:t xml:space="preserve"> </w:t>
      </w:r>
      <w:r w:rsidRPr="00847E8E">
        <w:rPr>
          <w:rFonts w:ascii="Times New Roman" w:hAnsi="Times New Roman"/>
          <w:bCs/>
          <w:sz w:val="18"/>
        </w:rPr>
        <w:t>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</w:t>
      </w:r>
      <w:r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DD7AFA" w:rsidRPr="00847E8E">
        <w:rPr>
          <w:rFonts w:ascii="Times New Roman" w:hAnsi="Times New Roman"/>
          <w:bCs/>
          <w:sz w:val="18"/>
        </w:rPr>
        <w:t xml:space="preserve"> 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C93FFB" w:rsidRPr="00847E8E">
        <w:rPr>
          <w:rFonts w:ascii="Times New Roman" w:hAnsi="Times New Roman"/>
          <w:bCs/>
          <w:sz w:val="18"/>
        </w:rPr>
        <w:t xml:space="preserve"> 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14:paraId="32A1ED5C" w14:textId="702125EB"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14:paraId="0A4343EF" w14:textId="04E0AAAC"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14:paraId="5D30D5E6" w14:textId="26718CC7"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14:paraId="445CAE92" w14:textId="77AB2BC0"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</w:t>
      </w:r>
      <w:r w:rsidR="00F76683" w:rsidRPr="00847E8E">
        <w:t xml:space="preserve"> </w:t>
      </w:r>
      <w:r w:rsidR="00F76683" w:rsidRPr="00847E8E">
        <w:rPr>
          <w:rFonts w:ascii="Times New Roman" w:hAnsi="Times New Roman"/>
          <w:bCs/>
          <w:sz w:val="18"/>
        </w:rPr>
        <w:t>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14:paraId="6A5603D9" w14:textId="7257C12D"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14:paraId="6ACD7782" w14:textId="394A7D38"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F95D21" w:rsidRPr="00847E8E">
        <w:rPr>
          <w:rFonts w:ascii="Times New Roman" w:hAnsi="Times New Roman"/>
          <w:bCs/>
          <w:sz w:val="18"/>
        </w:rPr>
        <w:t xml:space="preserve"> 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CA69D" w14:textId="77777777" w:rsidR="00502654" w:rsidRDefault="00502654" w:rsidP="005840AE">
      <w:pPr>
        <w:spacing w:after="0" w:line="240" w:lineRule="auto"/>
      </w:pPr>
      <w:r>
        <w:separator/>
      </w:r>
    </w:p>
  </w:endnote>
  <w:endnote w:type="continuationSeparator" w:id="0">
    <w:p w14:paraId="6AEA93EE" w14:textId="77777777" w:rsidR="00502654" w:rsidRDefault="00502654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6ECA4" w14:textId="77777777" w:rsidR="00502654" w:rsidRDefault="00502654" w:rsidP="005840AE">
      <w:pPr>
        <w:spacing w:after="0" w:line="240" w:lineRule="auto"/>
      </w:pPr>
      <w:r>
        <w:separator/>
      </w:r>
    </w:p>
  </w:footnote>
  <w:footnote w:type="continuationSeparator" w:id="0">
    <w:p w14:paraId="1AE2A47A" w14:textId="77777777" w:rsidR="00502654" w:rsidRDefault="00502654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992"/>
      <w:gridCol w:w="316"/>
    </w:tblGrid>
    <w:tr w:rsidR="002B5639" w:rsidRPr="00A32D2F" w14:paraId="105DC876" w14:textId="77777777" w:rsidTr="00B971CD">
      <w:trPr>
        <w:jc w:val="right"/>
      </w:trPr>
      <w:tc>
        <w:tcPr>
          <w:tcW w:w="992" w:type="dxa"/>
          <w:vAlign w:val="center"/>
        </w:tcPr>
        <w:p w14:paraId="037A170A" w14:textId="6F7267EC" w:rsidR="002B5639" w:rsidRPr="00A32D2F" w:rsidRDefault="002B5639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14:paraId="7DD285A3" w14:textId="77777777" w:rsidR="002B5639" w:rsidRPr="00D141F2" w:rsidRDefault="002B5639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  <w:lang w:val="pl-PL" w:eastAsia="en-US"/>
            </w:rPr>
          </w:pP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begin"/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separate"/>
          </w:r>
          <w:r w:rsidR="003F5521">
            <w:rPr>
              <w:rFonts w:ascii="Times New Roman" w:hAnsi="Times New Roman"/>
              <w:noProof/>
              <w:sz w:val="16"/>
              <w:szCs w:val="16"/>
              <w:lang w:val="pl-PL" w:eastAsia="en-US"/>
            </w:rPr>
            <w:t>5</w:t>
          </w:r>
          <w:r w:rsidRPr="00D141F2">
            <w:rPr>
              <w:rFonts w:ascii="Times New Roman" w:hAnsi="Times New Roman"/>
              <w:sz w:val="16"/>
              <w:szCs w:val="16"/>
              <w:lang w:val="pl-PL" w:eastAsia="en-US"/>
            </w:rPr>
            <w:fldChar w:fldCharType="end"/>
          </w:r>
        </w:p>
      </w:tc>
    </w:tr>
  </w:tbl>
  <w:p w14:paraId="78E00F49" w14:textId="77777777" w:rsidR="002B5639" w:rsidRPr="008F642B" w:rsidRDefault="002B5639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6A8D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930"/>
    <w:rsid w:val="002A7BF1"/>
    <w:rsid w:val="002B05D2"/>
    <w:rsid w:val="002B0C8B"/>
    <w:rsid w:val="002B2685"/>
    <w:rsid w:val="002B5639"/>
    <w:rsid w:val="002B5AE2"/>
    <w:rsid w:val="002C5080"/>
    <w:rsid w:val="002D282C"/>
    <w:rsid w:val="002D49BD"/>
    <w:rsid w:val="002D6DD4"/>
    <w:rsid w:val="002E0B6A"/>
    <w:rsid w:val="002E3324"/>
    <w:rsid w:val="002E38F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3F5521"/>
    <w:rsid w:val="004021F4"/>
    <w:rsid w:val="00402890"/>
    <w:rsid w:val="0040373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2654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4D0F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8F7A34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DA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  <ds:schemaRef ds:uri=""/>
  </ds:schemaRefs>
</ds:datastoreItem>
</file>

<file path=customXml/itemProps6.xml><?xml version="1.0" encoding="utf-8"?>
<ds:datastoreItem xmlns:ds="http://schemas.openxmlformats.org/officeDocument/2006/customXml" ds:itemID="{76CF910D-7501-4157-BCCC-121A4845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4186</Words>
  <Characters>25118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Patrycja Majewska</cp:lastModifiedBy>
  <cp:revision>2</cp:revision>
  <cp:lastPrinted>2018-01-10T11:08:00Z</cp:lastPrinted>
  <dcterms:created xsi:type="dcterms:W3CDTF">2021-03-15T14:59:00Z</dcterms:created>
  <dcterms:modified xsi:type="dcterms:W3CDTF">2021-03-15T14:59:00Z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